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A006E1" w:rsidRDefault="00A55D68" w:rsidP="00A006E1">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5B731BC-FFB5-43FE-B690-329D2315413F" style="width:450.8pt;height:409.45pt">
            <v:imagedata r:id="rId7" o:title=""/>
          </v:shape>
        </w:pict>
      </w:r>
    </w:p>
    <w:p w:rsidR="002402D9" w:rsidRPr="00A006E1" w:rsidRDefault="002402D9">
      <w:pPr>
        <w:sectPr w:rsidR="002402D9" w:rsidRPr="00A006E1" w:rsidSect="008B66AA">
          <w:footerReference w:type="default" r:id="rId8"/>
          <w:pgSz w:w="11907" w:h="16839"/>
          <w:pgMar w:top="1134" w:right="1417" w:bottom="1134" w:left="1417" w:header="709" w:footer="709" w:gutter="0"/>
          <w:pgNumType w:start="0"/>
          <w:cols w:space="720"/>
          <w:docGrid w:linePitch="360"/>
        </w:sectPr>
      </w:pPr>
    </w:p>
    <w:p w:rsidR="002402D9" w:rsidRPr="00A006E1" w:rsidRDefault="00A006E1" w:rsidP="00A006E1">
      <w:pPr>
        <w:pStyle w:val="Typedudocument"/>
      </w:pPr>
      <w:r>
        <w:lastRenderedPageBreak/>
        <w:t>UITVOERINGSBESLUIT VAN DE COMMISSIE</w:t>
      </w:r>
    </w:p>
    <w:p w:rsidR="002402D9" w:rsidRPr="00A006E1" w:rsidRDefault="00A006E1" w:rsidP="00A006E1">
      <w:pPr>
        <w:pStyle w:val="Datedadoption"/>
      </w:pPr>
      <w:r>
        <w:t>van XXX</w:t>
      </w:r>
    </w:p>
    <w:p w:rsidR="002402D9" w:rsidRPr="00A006E1" w:rsidRDefault="00A006E1" w:rsidP="00A006E1">
      <w:pPr>
        <w:pStyle w:val="Titreobjet"/>
      </w:pPr>
      <w:r w:rsidRPr="00A006E1">
        <w:t>betreffende standaardcontractbepalingen tussen verwerkingsverantwoordelijken en verwerkers uit hoofde van artikel 28, lid 7, van Verordening (EU) 2016/679 van het Europees Parlement en de Raad en artikel 29, lid 7, van Verordening (EU) 2018/1725 van het Europees Parlement en de Raad</w:t>
      </w:r>
    </w:p>
    <w:p w:rsidR="002402D9" w:rsidRPr="00A006E1" w:rsidRDefault="00A006E1" w:rsidP="00A006E1">
      <w:pPr>
        <w:pStyle w:val="IntrtEEE"/>
      </w:pPr>
      <w:r w:rsidRPr="00A006E1">
        <w:t>(Voor de EER relevante tekst)</w:t>
      </w:r>
    </w:p>
    <w:p w:rsidR="002402D9" w:rsidRPr="00A006E1" w:rsidRDefault="002402D9" w:rsidP="002402D9">
      <w:pPr>
        <w:pStyle w:val="Institutionquiagit"/>
      </w:pPr>
      <w:r w:rsidRPr="00A006E1">
        <w:t>DE EUROPESE COMMISSIE,</w:t>
      </w:r>
    </w:p>
    <w:p w:rsidR="002402D9" w:rsidRPr="00A006E1" w:rsidRDefault="002402D9" w:rsidP="002402D9">
      <w:r w:rsidRPr="00A006E1">
        <w:t>Gezien het Verdrag betreffende de werking van de Europese Unie,</w:t>
      </w:r>
    </w:p>
    <w:p w:rsidR="002402D9" w:rsidRPr="00A006E1" w:rsidRDefault="002402D9" w:rsidP="002402D9">
      <w:r w:rsidRPr="00A006E1">
        <w:t>Gezien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w:t>
      </w:r>
      <w:r w:rsidRPr="00A006E1">
        <w:rPr>
          <w:rStyle w:val="FootnoteReference"/>
        </w:rPr>
        <w:footnoteReference w:id="1"/>
      </w:r>
      <w:r w:rsidRPr="00A006E1">
        <w:t xml:space="preserve">, en met name artikel 28, lid 7, </w:t>
      </w:r>
    </w:p>
    <w:p w:rsidR="002402D9" w:rsidRPr="00A006E1" w:rsidRDefault="002402D9" w:rsidP="002402D9">
      <w:r w:rsidRPr="00A006E1">
        <w:t>Gezien Verordening (EU) 2018/1725 van het Europees Parlement en de Raad van 23 oktober 2018 betreffende de bescherming van natuurlijke personen in verband met de verwerking van persoonsgegevens door instellingen, organen en instanties van de Unie en betreffende het vrije verkeer van die gegevens, en tot intrekking van Verordening (EG) nr. 45/2001 en Besluit nr. 1247/2002/EG (EU-gegevensbeschermingsverordening)</w:t>
      </w:r>
      <w:r w:rsidRPr="00A006E1">
        <w:rPr>
          <w:rStyle w:val="FootnoteReference"/>
        </w:rPr>
        <w:footnoteReference w:id="2"/>
      </w:r>
      <w:r w:rsidRPr="00A006E1">
        <w:t>, en met name artikel 29, lid 7,</w:t>
      </w:r>
    </w:p>
    <w:p w:rsidR="002402D9" w:rsidRPr="00A006E1" w:rsidRDefault="002402D9" w:rsidP="002402D9">
      <w:r w:rsidRPr="00A006E1">
        <w:t>Overwegende hetgeen volgt:</w:t>
      </w:r>
    </w:p>
    <w:p w:rsidR="002402D9" w:rsidRPr="00A006E1" w:rsidRDefault="002402D9" w:rsidP="00364079">
      <w:pPr>
        <w:pStyle w:val="Considrant"/>
        <w:numPr>
          <w:ilvl w:val="0"/>
          <w:numId w:val="1"/>
        </w:numPr>
      </w:pPr>
      <w:r w:rsidRPr="00A006E1">
        <w:t>De begrippen “verwerkingsverantwoordelijke” en “verwerker” spelen een cruciale rol bij de toepassing van Verordening (EU) 2016/679 en Verordening (EU) 2018/1725. De “verwerkingsverantwoordelijke” is een natuurlijke persoon of rechtspersoon, een overheidsinstantie, een dienst of een ander orgaan die/dat, alleen of samen met anderen, het doel van en de middelen voor de verwerking van persoonsgegevens vaststelt. Voor de toepassing van Verordening (EU) 2018/1725 wordt onder “verwerkingsverantwoordelijke” verstaan: de instelling of het orgaan van de Unie, het directoraat-generaal, of enig ander organisatieonderdeel die/dat, alleen of samen met anderen, het doel van en de middelen voor de verwerking van persoonsgegevens vaststelt. Wanneer de doelstellingen van en de middelen voor deze verwerking in een specifieke Uniehandeling worden vastgesteld, kan de Unie daarin bepalen wie de verwerkings</w:t>
      </w:r>
      <w:r w:rsidR="00E07E6F">
        <w:t>ver</w:t>
      </w:r>
      <w:r w:rsidRPr="00A006E1">
        <w:t>antwoordelijke is of volgens welke criteria deze wordt aangewezen. Een verwerker is een natuurlijke persoon of rechtspersoon, een overheidsinstantie, een dienst of een ander orgaan die/dat namens de verwerkingsverantwoordelijke persoonsgegevens verwerkt;</w:t>
      </w:r>
    </w:p>
    <w:p w:rsidR="002402D9" w:rsidRPr="00A006E1" w:rsidRDefault="002402D9" w:rsidP="009237D1">
      <w:pPr>
        <w:pStyle w:val="Considrant"/>
      </w:pPr>
      <w:r w:rsidRPr="00A006E1">
        <w:t xml:space="preserve">Op de betrekkingen tussen de verwerkingsverantwoordelijken en de gegevensverwerkers die onderworpen zijn aan Verordening (EU) 2016/679 moet dezelfde reeks standaardcontractbepalingen van toepassing zijn, ook wanneer zij </w:t>
      </w:r>
      <w:r w:rsidRPr="00A006E1">
        <w:lastRenderedPageBreak/>
        <w:t xml:space="preserve">onderworpen zijn aan Verordening (EU) 2018/1725. De reden daarvoor is dat een coherente aanpak van de bescherming van persoonsgegevens in de hele Unie en van het vrije verkeer van persoonsgegevens binnen de Unie, vereist dat de gegevensbeschermingsregels van Verordening (EU) 2016/679, die van toepassing zijn op de overheidssector in de lidstaten, en de gegevensbeschermingsregels van Verordening (EU) 2018/1725, die van toepassing zijn op de instellingen, organen en instanties van de Unie, zoveel mogelijk op elkaar zijn afgestemd. </w:t>
      </w:r>
    </w:p>
    <w:p w:rsidR="002402D9" w:rsidRPr="00A006E1" w:rsidRDefault="002402D9" w:rsidP="002402D9">
      <w:pPr>
        <w:pStyle w:val="Considrant"/>
      </w:pPr>
      <w:r w:rsidRPr="00A006E1">
        <w:t>Om ervoor te zorgen dat aan de vereisten van de Verordeningen (EU) 2016/679 en (EU) 2018/1725 wordt voldaan, mag de verwerkingsverantwoordelijke, wanneer hij verwerkingsactiviteiten aan een verwerker toevertrouwt, alleen gebruikmaken van verwerkers die voldoende garanties bieden - met name wat betreft deskundigheid, betrouwbaarheid en middelen - voor de uitvoering van technische en organisatorische maatregelen die voldoen aan de vereisten van Verordening (EU) 2016/679 en Verordening (EU) 2018/1725, onder meer met het oog op de beveiliging van de verwerking.</w:t>
      </w:r>
    </w:p>
    <w:p w:rsidR="002402D9" w:rsidRPr="00A006E1" w:rsidRDefault="002402D9" w:rsidP="002402D9">
      <w:pPr>
        <w:pStyle w:val="Considrant"/>
      </w:pPr>
      <w:r w:rsidRPr="00A006E1">
        <w:t>De verwerking door een verwerker moet worden geregeld in een overeenkomst of een andere rechtshandeling krachtens het Unierecht of het lidstatelijke recht die de verwerker ten aanzien van de verwerkingsverantwoordelijke bindt, en waarin de in artikel 28, leden 3 en 4, van Verordening (EU) 2016/679 of artikel 29, leden 3 en 4, van Verordening (EU) 2018/1725 genoemde elementen zijn opgenomen. Deze overeenkomst of handeling moet schriftelijk worden vastgelegd, wat ook in elektronische vorm kan plaatsvinden.</w:t>
      </w:r>
    </w:p>
    <w:p w:rsidR="002402D9" w:rsidRPr="00A006E1" w:rsidRDefault="002402D9" w:rsidP="002402D9">
      <w:pPr>
        <w:pStyle w:val="Considrant"/>
      </w:pPr>
      <w:r w:rsidRPr="00A006E1">
        <w:t xml:space="preserve">Overeenkomstig artikel 28, lid 6, van Verordening (EU) 2016/679 en artikel 29, lid 6, van Verordening (EU) 2018/1725 kunnen de verwerkingsverantwoordelijke en de verwerker ervoor kiezen om een individuele overeenkomst te sluiten die de verplichte elementen bevat die zijn vastgelegd in respectievelijk artikel 28, leden 3 en 4, van Verordening (EU) 2016/679 en artikel 29, leden 3 en 4, van Verordening (EU) 2018/1725, dan wel geheel of gedeeltelijk gebruik te maken van standaardcontractbepalingen die door de Commissie zijn vastgesteld overeenkomstig artikel 28, lid 7, van Verordening (EU) 2016/679 of artikel 29, lid 7, van Verordening (EU) 2018/1725. </w:t>
      </w:r>
    </w:p>
    <w:p w:rsidR="002402D9" w:rsidRPr="00A006E1" w:rsidRDefault="002402D9" w:rsidP="002402D9">
      <w:pPr>
        <w:pStyle w:val="Considrant"/>
      </w:pPr>
      <w:r w:rsidRPr="00A006E1">
        <w:t>Het moet de verwerkingsverantwoordelijke en de verwerker vrijstaan om de standaardcontractbepalingen waarin dit besluit voorziet, op te nemen in een bredere overeenkomst en om andere bepalingen of aanvullende waarborgen toe te voegen, mits deze niet direct of indirect in strijd zijn met de standaardcontractbepalingen of afbreuk doen aan de grondrechten of fundamentele vrijheden van betrokkenen. Het gebruik van de standaardcontractbepalingen doet geen afbreuk aan eventuele contractuele verplichtingen van de verwerkingsverantwoordelijke en/of de verwerker om ervoor te zorgen dat de toepasselijke voorrechten en immuniteiten worden geëerbiedigd.</w:t>
      </w:r>
    </w:p>
    <w:p w:rsidR="002402D9" w:rsidRPr="00A006E1" w:rsidRDefault="002402D9" w:rsidP="002402D9">
      <w:pPr>
        <w:pStyle w:val="Considrant"/>
      </w:pPr>
      <w:r w:rsidRPr="00A006E1">
        <w:t xml:space="preserve">De standaardcontractbepalingen moeten zowel materiële als procedurele regels omvatten. Overeenkomstig artikel 28, lid 3, van Verordening (EU) 2016/679 en artikel 29, lid 3, van Verordening (EU) 2018/1725, moeten de standaardcontractbepalingen ook voorschrijven dat de verwerkingsverantwoordelijke en de verwerker het onderwerp en de duur van de verwerking, de aard en het doel daarvan, de betrokken soort persoonsgegevens, de categorieën van betrokkenen, en de rechten en verplichtingen van de verwerkingsverantwoordelijke omschrijven. </w:t>
      </w:r>
    </w:p>
    <w:p w:rsidR="002402D9" w:rsidRPr="00A006E1" w:rsidRDefault="002402D9" w:rsidP="002402D9">
      <w:pPr>
        <w:pStyle w:val="Considrant"/>
      </w:pPr>
      <w:r w:rsidRPr="00A006E1">
        <w:t>Overeenkomstig artikel 28, lid 3, van Verordening (EU) 2016/679 en artikel 29, lid 3, van Verordening (EU) 2018/1725 moet de verwerker de verwerkingsverantwoordelijke onmiddellijk in kennis stellen indien naar zijn mening een instructie van de verwerkingsverantwoordelijke inbreuk oplevert op Verordening (EU) 2016/679 of Verordening (EU) 2018/1725 of op andere Unierechtelijke of lidstaatrechtelijke bepalingen inzake gegevensbescherming.</w:t>
      </w:r>
    </w:p>
    <w:p w:rsidR="002402D9" w:rsidRPr="00A006E1" w:rsidRDefault="005D6D0A" w:rsidP="002402D9">
      <w:pPr>
        <w:pStyle w:val="Considrant"/>
      </w:pPr>
      <w:r w:rsidRPr="00A006E1">
        <w:t xml:space="preserve">Indien een verwerker een andere verwerker in dienst neemt om specifieke activiteiten uit te voeren, moeten de specifieke eisen als bedoeld in artikel 28, leden 2 en 4, van Verordening (EU) 2016/679 of artikel 29, leden 2 en 4, van Verordening (EU) 2018/1725, van toepassing zijn. Met name is een voorafgaande, specifieke of algemene, schriftelijke toestemming vereist. Ongeacht of deze voorafgaande toestemming specifiek of algemeen is, moet de eerste verwerker een lijst van de andere verwerkers bijhouden. </w:t>
      </w:r>
    </w:p>
    <w:p w:rsidR="002402D9" w:rsidRPr="00A006E1" w:rsidRDefault="002402D9" w:rsidP="002402D9">
      <w:pPr>
        <w:pStyle w:val="Considrant"/>
      </w:pPr>
      <w:r w:rsidRPr="00A006E1">
        <w:t xml:space="preserve">Om te voldoen aan de vereisten van artikel 46, lid 1, van Verordening (EU) 2016/679 heeft de Commissie overeenkomstig artikel 46, lid 2, punt c), van Verordening (EU) 2016/679 standaardcontractbepalingen vastgesteld. Die bepalingen voldoen ook aan de vereisten van artikel 28, leden 3 en 4, van Verordening (EU) 2016/679 voor de doorgifte van gegevens van verwerkingsverantwoordelijken die onder Verordening (EU) 2016/679 vallen aan verwerkers buiten het territoriale toepassingsgebied van die verordening of van verwerkers die onder Verordening (EU) 2016/679 vallen aan subverwerkers buiten het territoriale toepassingsgebied van die verordening. Deze standaardcontractbepalingen kunnen niet worden gebruikt als standaardcontractbepalingen voor de toepassing van hoofdstuk V van Verordening (EU) 2016/679. </w:t>
      </w:r>
    </w:p>
    <w:p w:rsidR="002402D9" w:rsidRPr="00A006E1" w:rsidRDefault="002402D9" w:rsidP="002402D9">
      <w:pPr>
        <w:pStyle w:val="Considrant"/>
      </w:pPr>
      <w:r w:rsidRPr="00A006E1">
        <w:t>Derden moeten gedurende de gehele looptijd van de overeenkomst partij kunnen worden bij de standaardcontractbepalingen.</w:t>
      </w:r>
    </w:p>
    <w:p w:rsidR="002402D9" w:rsidRPr="00A006E1" w:rsidRDefault="002402D9" w:rsidP="002402D9">
      <w:pPr>
        <w:pStyle w:val="Considrant"/>
      </w:pPr>
      <w:r w:rsidRPr="00A006E1">
        <w:t xml:space="preserve">De werking van de standaardcontractbepalingen moet worden geëvalueerd in het kader van de periodieke evaluatie van Verordening (EU) 2016/679 als bedoeld in artikel 97 van die verordening. </w:t>
      </w:r>
    </w:p>
    <w:p w:rsidR="002402D9" w:rsidRPr="00A006E1" w:rsidRDefault="00EA7EE3" w:rsidP="00EA7EE3">
      <w:pPr>
        <w:pStyle w:val="Considrant"/>
      </w:pPr>
      <w:r w:rsidRPr="00A006E1">
        <w:t xml:space="preserve"> De Europese Toezichthouder voor gegevensbescherming en het Europees Comité voor gegevensbescherming zijn geraadpleegd overeenkomstig artikel 42, leden 1 en 2, van Verordening (EU) 2018/1725 en hebben op 14 januari 2021 een gezamenlijk advies</w:t>
      </w:r>
      <w:r w:rsidRPr="00A006E1">
        <w:rPr>
          <w:rStyle w:val="FootnoteReference"/>
        </w:rPr>
        <w:footnoteReference w:id="3"/>
      </w:r>
      <w:r w:rsidRPr="00A006E1">
        <w:t xml:space="preserve"> uitgebracht, waarmee bij de opstelling van dit besluit rekening is gehouden.</w:t>
      </w:r>
    </w:p>
    <w:p w:rsidR="002402D9" w:rsidRPr="00A006E1" w:rsidRDefault="002402D9" w:rsidP="002402D9">
      <w:pPr>
        <w:pStyle w:val="Considrant"/>
      </w:pPr>
      <w:r w:rsidRPr="00A006E1">
        <w:t>De in dit besluit vervatte maatregelen zijn in overeenstemming met het advies van het bij artikel 93 van Verordening (EU) 2016/679 en artikel 96, lid 2, van Verordening (EU) 2018/1725 ingestelde Comité,]</w:t>
      </w:r>
    </w:p>
    <w:p w:rsidR="002402D9" w:rsidRPr="00A006E1" w:rsidRDefault="002402D9" w:rsidP="002402D9">
      <w:pPr>
        <w:pStyle w:val="Formuledadoption"/>
      </w:pPr>
      <w:r w:rsidRPr="00A006E1">
        <w:t xml:space="preserve">HEEFT HET VOLGENDE BESLUIT VASTGESTELD: </w:t>
      </w:r>
    </w:p>
    <w:p w:rsidR="002402D9" w:rsidRPr="00A006E1" w:rsidRDefault="002402D9" w:rsidP="002402D9">
      <w:pPr>
        <w:pStyle w:val="Titrearticle"/>
      </w:pPr>
      <w:r w:rsidRPr="00A006E1">
        <w:t>Artikel 1</w:t>
      </w:r>
    </w:p>
    <w:p w:rsidR="002402D9" w:rsidRPr="00A006E1" w:rsidRDefault="002402D9" w:rsidP="002402D9">
      <w:r w:rsidRPr="00A006E1">
        <w:t>De in de bijlage opgenomen standaardcontractbepalingen voldoen aan de vereisten voor overeenkomsten tussen verwerkingsverantwoordelijken en verwerkers in artikel 28, leden 3 en 4, van Verordening (EU) 2016/679 en in artikel 29, leden 3 en 4, van Verordening (EU) 2018/1725.</w:t>
      </w:r>
    </w:p>
    <w:p w:rsidR="002402D9" w:rsidRPr="00A006E1" w:rsidRDefault="002402D9" w:rsidP="002402D9">
      <w:pPr>
        <w:pStyle w:val="Titrearticle"/>
      </w:pPr>
      <w:r w:rsidRPr="00A006E1">
        <w:t>Artikel 2</w:t>
      </w:r>
    </w:p>
    <w:p w:rsidR="002402D9" w:rsidRPr="00A006E1" w:rsidRDefault="002402D9" w:rsidP="002402D9">
      <w:r w:rsidRPr="00A006E1">
        <w:t xml:space="preserve">De in de bijlage opgenomen standaardcontractbepalingen kunnen worden gebruikt in overeenkomsten tussen een verwerkingsverantwoordelijke en een verwerker die namens de verwerkingsverantwoordelijke persoonsgegevens verwerkt. </w:t>
      </w:r>
    </w:p>
    <w:p w:rsidR="002402D9" w:rsidRPr="00A006E1" w:rsidRDefault="002402D9" w:rsidP="002402D9">
      <w:pPr>
        <w:pStyle w:val="Titrearticle"/>
      </w:pPr>
      <w:r w:rsidRPr="00A006E1">
        <w:t>Artikel 3</w:t>
      </w:r>
    </w:p>
    <w:p w:rsidR="002402D9" w:rsidRPr="00A006E1" w:rsidRDefault="002402D9" w:rsidP="002402D9">
      <w:pPr>
        <w:rPr>
          <w:rFonts w:eastAsia="Calibri"/>
        </w:rPr>
      </w:pPr>
      <w:r w:rsidRPr="00A006E1">
        <w:t xml:space="preserve">De Commissie evalueert de praktische toepassing van de standaardcontractbepalingen in de bijlage op basis van alle beschikbare informatie in het kader van de periodieke evaluatie als bedoeld in artikel 97 van Verordening (EU) 2016/679. </w:t>
      </w:r>
    </w:p>
    <w:p w:rsidR="002402D9" w:rsidRPr="00A006E1" w:rsidRDefault="002402D9" w:rsidP="002402D9">
      <w:pPr>
        <w:pStyle w:val="Titrearticle"/>
      </w:pPr>
      <w:r w:rsidRPr="00A006E1">
        <w:t>Artikel 4</w:t>
      </w:r>
    </w:p>
    <w:p w:rsidR="003A69A2" w:rsidRPr="00A006E1" w:rsidRDefault="003A69A2" w:rsidP="00135D70">
      <w:r w:rsidRPr="00A006E1">
        <w:t>Dit besluit treedt in werking op de twintigste dag na die van de bekendmaking ervan in het Publicatieblad van de Europese Unie.</w:t>
      </w:r>
    </w:p>
    <w:p w:rsidR="002402D9" w:rsidRPr="00A006E1" w:rsidRDefault="00A006E1" w:rsidP="00A006E1">
      <w:pPr>
        <w:pStyle w:val="Fait"/>
      </w:pPr>
      <w:r w:rsidRPr="00A006E1">
        <w:t>Gedaan te Brussel,</w:t>
      </w:r>
    </w:p>
    <w:p w:rsidR="002402D9" w:rsidRPr="00A006E1" w:rsidRDefault="002402D9" w:rsidP="002402D9">
      <w:pPr>
        <w:pStyle w:val="Institutionquisigne"/>
        <w:rPr>
          <w:color w:val="000000" w:themeColor="text1"/>
        </w:rPr>
      </w:pPr>
      <w:r w:rsidRPr="00A006E1">
        <w:tab/>
      </w:r>
      <w:r w:rsidRPr="00A006E1">
        <w:rPr>
          <w:color w:val="000000" w:themeColor="text1"/>
        </w:rPr>
        <w:t>Voor de Commissie</w:t>
      </w:r>
    </w:p>
    <w:p w:rsidR="002402D9" w:rsidRPr="00A006E1" w:rsidRDefault="002402D9" w:rsidP="002402D9">
      <w:pPr>
        <w:pStyle w:val="Personnequisigne"/>
      </w:pPr>
      <w:r w:rsidRPr="00A006E1">
        <w:tab/>
        <w:t>Ursula VON DER LEYEN</w:t>
      </w:r>
    </w:p>
    <w:p w:rsidR="002402D9" w:rsidRPr="00A006E1" w:rsidRDefault="002402D9" w:rsidP="00F476B5">
      <w:pPr>
        <w:pStyle w:val="Personnequisigne"/>
        <w:rPr>
          <w:color w:val="000000" w:themeColor="text1"/>
        </w:rPr>
      </w:pPr>
      <w:r w:rsidRPr="00A006E1">
        <w:tab/>
      </w:r>
      <w:r w:rsidRPr="00A006E1">
        <w:rPr>
          <w:color w:val="000000" w:themeColor="text1"/>
        </w:rPr>
        <w:t xml:space="preserve">De voorzitter </w:t>
      </w:r>
    </w:p>
    <w:sectPr w:rsidR="002402D9" w:rsidRPr="00A006E1" w:rsidSect="008B66AA">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C74" w:rsidRPr="008B66AA" w:rsidRDefault="008B66AA" w:rsidP="008B66AA">
    <w:pPr>
      <w:pStyle w:val="Footer"/>
      <w:rPr>
        <w:rFonts w:ascii="Arial" w:hAnsi="Arial" w:cs="Arial"/>
        <w:b/>
        <w:sz w:val="48"/>
      </w:rPr>
    </w:pPr>
    <w:r w:rsidRPr="008B66AA">
      <w:rPr>
        <w:rFonts w:ascii="Arial" w:hAnsi="Arial" w:cs="Arial"/>
        <w:b/>
        <w:sz w:val="48"/>
      </w:rPr>
      <w:t>NL</w:t>
    </w:r>
    <w:r w:rsidRPr="008B66AA">
      <w:rPr>
        <w:rFonts w:ascii="Arial" w:hAnsi="Arial" w:cs="Arial"/>
        <w:b/>
        <w:sz w:val="48"/>
      </w:rPr>
      <w:tab/>
    </w:r>
    <w:r w:rsidRPr="008B66AA">
      <w:rPr>
        <w:rFonts w:ascii="Arial" w:hAnsi="Arial" w:cs="Arial"/>
        <w:b/>
        <w:sz w:val="48"/>
      </w:rPr>
      <w:tab/>
    </w:r>
    <w:r w:rsidRPr="008B66AA">
      <w:tab/>
    </w:r>
    <w:r w:rsidRPr="008B66AA">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6AA" w:rsidRPr="008B66AA" w:rsidRDefault="008B66AA" w:rsidP="008B66AA">
    <w:pPr>
      <w:pStyle w:val="Footer"/>
      <w:rPr>
        <w:rFonts w:ascii="Arial" w:hAnsi="Arial" w:cs="Arial"/>
        <w:b/>
        <w:sz w:val="48"/>
      </w:rPr>
    </w:pPr>
    <w:r w:rsidRPr="008B66AA">
      <w:rPr>
        <w:rFonts w:ascii="Arial" w:hAnsi="Arial" w:cs="Arial"/>
        <w:b/>
        <w:sz w:val="48"/>
      </w:rPr>
      <w:t>NL</w:t>
    </w:r>
    <w:r w:rsidRPr="008B66AA">
      <w:rPr>
        <w:rFonts w:ascii="Arial" w:hAnsi="Arial" w:cs="Arial"/>
        <w:b/>
        <w:sz w:val="48"/>
      </w:rPr>
      <w:tab/>
    </w:r>
    <w:r>
      <w:fldChar w:fldCharType="begin"/>
    </w:r>
    <w:r>
      <w:instrText xml:space="preserve"> PAGE  \* MERGEFORMAT </w:instrText>
    </w:r>
    <w:r>
      <w:fldChar w:fldCharType="separate"/>
    </w:r>
    <w:r w:rsidR="00A55D68">
      <w:rPr>
        <w:noProof/>
      </w:rPr>
      <w:t>1</w:t>
    </w:r>
    <w:r>
      <w:fldChar w:fldCharType="end"/>
    </w:r>
    <w:r>
      <w:tab/>
    </w:r>
    <w:r w:rsidRPr="008B66AA">
      <w:tab/>
    </w:r>
    <w:r w:rsidRPr="008B66AA">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6AA" w:rsidRPr="008B66AA" w:rsidRDefault="008B66AA" w:rsidP="008B6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PB L 119 van 4.5.2016, blz. 1.</w:t>
      </w:r>
    </w:p>
  </w:footnote>
  <w:footnote w:id="2">
    <w:p w:rsidR="002402D9" w:rsidRPr="00EA7EE3" w:rsidRDefault="002402D9" w:rsidP="002402D9">
      <w:pPr>
        <w:pStyle w:val="FootnoteText"/>
        <w:ind w:left="284" w:hanging="284"/>
      </w:pPr>
      <w:r>
        <w:rPr>
          <w:rStyle w:val="FootnoteReference"/>
        </w:rPr>
        <w:footnoteRef/>
      </w:r>
      <w:r>
        <w:tab/>
        <w:t>PB L 295 van 21.11.2018, blz. 39.</w:t>
      </w:r>
    </w:p>
  </w:footnote>
  <w:footnote w:id="3">
    <w:p w:rsidR="002402D9" w:rsidRPr="003C5835" w:rsidRDefault="002402D9" w:rsidP="00EA7EE3">
      <w:pPr>
        <w:pStyle w:val="FootnoteText"/>
        <w:ind w:left="284" w:hanging="284"/>
      </w:pPr>
      <w:r>
        <w:rPr>
          <w:rStyle w:val="FootnoteReference"/>
        </w:rPr>
        <w:footnoteRef/>
      </w:r>
      <w:r>
        <w:tab/>
        <w:t>Gezamenlijk advies nr. 1/2021 van de EDPB en de EDPS over het uitvoeringsbesluit van de Commissie betreffende standaardcontractbepalingen tussen verwerkingsverantwoordelijken en verwerkers voor de aangelegenheden als bedoeld in artikel 28, lid 7, van Verordening (EU) 2016/679 en artikel 29, lid 7, van Verordening (EU)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nl-NL" w:vendorID="64" w:dllVersion="131078" w:nlCheck="1" w:checkStyle="0"/>
  <w:attachedTemplate r:id="rId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7:44: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25B731BC-FFB5-43FE-B690-329D2315413F"/>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w:docVar w:name="LW_EMISSION_SUFFIX" w:val=" "/>
    <w:docVar w:name="LW_ID_DOCMODEL" w:val="SJ-032"/>
    <w:docVar w:name="LW_ID_DOCSIGNATURE" w:val="SJ-032"/>
    <w:docVar w:name="LW_ID_DOCSTRUCTURE" w:val="COM/AA"/>
    <w:docVar w:name="LW_ID_DOCTYPE" w:val="SJ-032"/>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betreffende standaardcontractbepalingen tussen verwerkingsverantwoordelijken en verwerkers uit hoofde van artikel 28, lid 7, van Verordening (EU) 2016/679 van het Europees Parlement en de Raad en artikel 29, lid 7, van Verordening (EU) 2018/1725 van het Europees Parlement en de Raad"/>
    <w:docVar w:name="LW_TYPE.DOC.CP" w:val="UITVOERINGSBESLUIT VAN DE COMMISSIE"/>
  </w:docVars>
  <w:rsids>
    <w:rsidRoot w:val="002402D9"/>
    <w:rsid w:val="000A7517"/>
    <w:rsid w:val="000E198E"/>
    <w:rsid w:val="00135D70"/>
    <w:rsid w:val="00151F7C"/>
    <w:rsid w:val="00167E1B"/>
    <w:rsid w:val="001C2816"/>
    <w:rsid w:val="002040A1"/>
    <w:rsid w:val="00232E98"/>
    <w:rsid w:val="00237340"/>
    <w:rsid w:val="002402D9"/>
    <w:rsid w:val="00252115"/>
    <w:rsid w:val="002532DA"/>
    <w:rsid w:val="00275FE2"/>
    <w:rsid w:val="002C0FB7"/>
    <w:rsid w:val="00364079"/>
    <w:rsid w:val="003A69A2"/>
    <w:rsid w:val="003B1851"/>
    <w:rsid w:val="0048570C"/>
    <w:rsid w:val="004D6C74"/>
    <w:rsid w:val="004F2DF0"/>
    <w:rsid w:val="005951BB"/>
    <w:rsid w:val="005C6F33"/>
    <w:rsid w:val="005D6D0A"/>
    <w:rsid w:val="006E1BCC"/>
    <w:rsid w:val="0070128F"/>
    <w:rsid w:val="00731CD3"/>
    <w:rsid w:val="00777778"/>
    <w:rsid w:val="007C06F6"/>
    <w:rsid w:val="007D5587"/>
    <w:rsid w:val="00894AF5"/>
    <w:rsid w:val="008B66AA"/>
    <w:rsid w:val="009237D1"/>
    <w:rsid w:val="00942512"/>
    <w:rsid w:val="00943C06"/>
    <w:rsid w:val="00986B33"/>
    <w:rsid w:val="00986D45"/>
    <w:rsid w:val="00987AD5"/>
    <w:rsid w:val="009A12DF"/>
    <w:rsid w:val="009B7138"/>
    <w:rsid w:val="009E0664"/>
    <w:rsid w:val="00A006E1"/>
    <w:rsid w:val="00A55D68"/>
    <w:rsid w:val="00AB596B"/>
    <w:rsid w:val="00BE246D"/>
    <w:rsid w:val="00BF17AA"/>
    <w:rsid w:val="00C24556"/>
    <w:rsid w:val="00CC49B0"/>
    <w:rsid w:val="00D60C6C"/>
    <w:rsid w:val="00D64D62"/>
    <w:rsid w:val="00DC435D"/>
    <w:rsid w:val="00DF46BA"/>
    <w:rsid w:val="00DF6773"/>
    <w:rsid w:val="00DF6971"/>
    <w:rsid w:val="00E07E6F"/>
    <w:rsid w:val="00E37448"/>
    <w:rsid w:val="00EA7EE3"/>
    <w:rsid w:val="00ED3E3C"/>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nl-NL"/>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nl-NL"/>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1357</Words>
  <Characters>8410</Characters>
  <Application>Microsoft Office Word</Application>
  <DocSecurity>0</DocSecurity>
  <Lines>143</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COUSSENS Mia (DGT)</cp:lastModifiedBy>
  <cp:revision>3</cp:revision>
  <dcterms:created xsi:type="dcterms:W3CDTF">2021-05-20T15:44:00Z</dcterms:created>
  <dcterms:modified xsi:type="dcterms:W3CDTF">2021-05-20T15:44:00Z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 Build 20190717</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